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0DB" w:rsidRPr="00C15C55" w:rsidRDefault="00D970DB" w:rsidP="00C15C55">
      <w:pPr>
        <w:pStyle w:val="Heading1"/>
        <w:spacing w:after="240"/>
        <w:jc w:val="center"/>
        <w:rPr>
          <w:rFonts w:asciiTheme="majorBidi" w:eastAsia="Times New Roman" w:hAnsiTheme="majorBidi"/>
          <w:b/>
          <w:bCs/>
          <w:lang w:val="fr-FR"/>
        </w:rPr>
      </w:pPr>
      <w:r w:rsidRPr="00C15C55">
        <w:rPr>
          <w:rFonts w:asciiTheme="majorBidi" w:eastAsia="Times New Roman" w:hAnsiTheme="majorBidi"/>
          <w:b/>
          <w:bCs/>
          <w:lang w:val="fr-FR"/>
        </w:rPr>
        <w:t>Le prix Goncourt</w:t>
      </w:r>
      <w:r w:rsidR="00C15C55" w:rsidRPr="00C15C55">
        <w:rPr>
          <w:rFonts w:asciiTheme="majorBidi" w:eastAsia="Times New Roman" w:hAnsiTheme="majorBidi"/>
          <w:b/>
          <w:bCs/>
          <w:lang w:val="fr-FR"/>
        </w:rPr>
        <w:t> : Choix de l’Orient !</w:t>
      </w:r>
    </w:p>
    <w:p w:rsidR="00C15C55" w:rsidRPr="00C15C55" w:rsidRDefault="00C15C55" w:rsidP="00C15C55">
      <w:pPr>
        <w:spacing w:after="240"/>
        <w:jc w:val="center"/>
        <w:rPr>
          <w:rFonts w:asciiTheme="majorBidi" w:hAnsiTheme="majorBidi" w:cstheme="majorBidi"/>
          <w:lang w:val="fr-FR"/>
        </w:rPr>
      </w:pPr>
      <w:r w:rsidRPr="00C15C55">
        <w:rPr>
          <w:rFonts w:asciiTheme="majorBidi" w:hAnsiTheme="majorBidi" w:cstheme="majorBidi"/>
          <w:lang w:val="fr-FR"/>
        </w:rPr>
        <w:t xml:space="preserve">Présence de l'Universite </w:t>
      </w:r>
      <w:proofErr w:type="spellStart"/>
      <w:r w:rsidRPr="00C15C55">
        <w:rPr>
          <w:rFonts w:asciiTheme="majorBidi" w:hAnsiTheme="majorBidi" w:cstheme="majorBidi"/>
          <w:lang w:val="fr-FR"/>
        </w:rPr>
        <w:t>Tarbiat</w:t>
      </w:r>
      <w:proofErr w:type="spellEnd"/>
      <w:r w:rsidRPr="00C15C55">
        <w:rPr>
          <w:rFonts w:asciiTheme="majorBidi" w:hAnsiTheme="majorBidi" w:cstheme="majorBidi"/>
          <w:lang w:val="fr-FR"/>
        </w:rPr>
        <w:t xml:space="preserve">- </w:t>
      </w:r>
      <w:proofErr w:type="spellStart"/>
      <w:r w:rsidRPr="00C15C55">
        <w:rPr>
          <w:rFonts w:asciiTheme="majorBidi" w:hAnsiTheme="majorBidi" w:cstheme="majorBidi"/>
          <w:lang w:val="fr-FR"/>
        </w:rPr>
        <w:t>Modares</w:t>
      </w:r>
      <w:proofErr w:type="spellEnd"/>
      <w:r w:rsidRPr="00C15C55">
        <w:rPr>
          <w:rFonts w:asciiTheme="majorBidi" w:hAnsiTheme="majorBidi" w:cstheme="majorBidi"/>
          <w:lang w:val="fr-FR"/>
        </w:rPr>
        <w:t xml:space="preserve"> au sein du Grand Jury !</w:t>
      </w:r>
    </w:p>
    <w:p w:rsidR="00D970DB" w:rsidRPr="00C15C55" w:rsidRDefault="00D970DB" w:rsidP="00C15C55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0"/>
          <w:szCs w:val="20"/>
          <w:lang w:val="fr-FR"/>
        </w:rPr>
      </w:pPr>
      <w:r w:rsidRPr="00C15C55">
        <w:rPr>
          <w:rFonts w:asciiTheme="majorBidi" w:eastAsia="Times New Roman" w:hAnsiTheme="majorBidi" w:cstheme="majorBidi"/>
          <w:color w:val="000000" w:themeColor="text1"/>
          <w:sz w:val="20"/>
          <w:szCs w:val="20"/>
          <w:lang w:val="fr-FR"/>
        </w:rPr>
        <w:t>Bita Hashemian Nejad</w:t>
      </w:r>
    </w:p>
    <w:p w:rsidR="00D970DB" w:rsidRPr="00C15C55" w:rsidRDefault="00D970DB" w:rsidP="00C15C55">
      <w:pPr>
        <w:spacing w:after="0" w:line="240" w:lineRule="auto"/>
        <w:jc w:val="center"/>
        <w:rPr>
          <w:rFonts w:asciiTheme="majorBidi" w:eastAsia="Times New Roman" w:hAnsiTheme="majorBidi" w:cstheme="majorBidi"/>
          <w:color w:val="000000" w:themeColor="text1"/>
          <w:sz w:val="20"/>
          <w:szCs w:val="20"/>
          <w:lang w:val="fr-FR"/>
        </w:rPr>
      </w:pPr>
      <w:r w:rsidRPr="00C15C55">
        <w:rPr>
          <w:rFonts w:asciiTheme="majorBidi" w:eastAsia="Times New Roman" w:hAnsiTheme="majorBidi" w:cstheme="majorBidi"/>
          <w:color w:val="000000" w:themeColor="text1"/>
          <w:sz w:val="20"/>
          <w:szCs w:val="20"/>
          <w:lang w:val="fr-FR"/>
        </w:rPr>
        <w:t>Fa</w:t>
      </w:r>
      <w:r w:rsidR="00386736" w:rsidRPr="00C15C55">
        <w:rPr>
          <w:rFonts w:asciiTheme="majorBidi" w:eastAsia="Times New Roman" w:hAnsiTheme="majorBidi" w:cstheme="majorBidi"/>
          <w:color w:val="000000" w:themeColor="text1"/>
          <w:sz w:val="20"/>
          <w:szCs w:val="20"/>
          <w:lang w:val="fr-FR"/>
        </w:rPr>
        <w:t>riba yaghoobi</w:t>
      </w:r>
    </w:p>
    <w:p w:rsidR="00D970DB" w:rsidRPr="00386736" w:rsidRDefault="00D970DB" w:rsidP="005F6D6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</w:pPr>
    </w:p>
    <w:p w:rsidR="005F6D69" w:rsidRPr="00386736" w:rsidRDefault="00BD1C63" w:rsidP="005F6D6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</w:pPr>
      <w:r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r w:rsidR="00E37F8D" w:rsidRPr="007C2D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fr-FR"/>
        </w:rPr>
        <w:t>Le prix Goncourt</w:t>
      </w:r>
      <w:r w:rsidR="00E37F8D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est un </w:t>
      </w:r>
      <w:hyperlink r:id="rId7" w:tooltip="Prix littéraire" w:history="1">
        <w:r w:rsidR="00E37F8D" w:rsidRPr="0038673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lang w:val="fr-FR"/>
          </w:rPr>
          <w:t>prix littéraire</w:t>
        </w:r>
      </w:hyperlink>
      <w:r w:rsidR="00E37F8D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français récompens</w:t>
      </w:r>
      <w:r w:rsidR="00CC05BE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ant des auteurs francophones</w:t>
      </w:r>
      <w:r w:rsidR="007B7106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, créé  par </w:t>
      </w:r>
      <w:hyperlink r:id="rId8" w:tooltip="Edmond de Goncourt" w:history="1">
        <w:r w:rsidR="00E37F8D" w:rsidRPr="0038673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lang w:val="fr-FR"/>
          </w:rPr>
          <w:t>Edmond de Goncourt</w:t>
        </w:r>
      </w:hyperlink>
      <w:r w:rsidR="00E37F8D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en </w:t>
      </w:r>
      <w:hyperlink r:id="rId9" w:tooltip="1892 en littérature" w:history="1">
        <w:r w:rsidR="00E37F8D" w:rsidRPr="0038673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lang w:val="fr-FR"/>
          </w:rPr>
          <w:t>1892</w:t>
        </w:r>
      </w:hyperlink>
      <w:r w:rsidR="00E37F8D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. La Soc</w:t>
      </w:r>
      <w:r w:rsidR="00CC05BE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iété littéraire des Goncourt a été</w:t>
      </w:r>
      <w:r w:rsidR="00E37F8D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officiellement fondée en </w:t>
      </w:r>
      <w:hyperlink r:id="rId10" w:tooltip="1902" w:history="1">
        <w:r w:rsidR="00E37F8D" w:rsidRPr="0038673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lang w:val="fr-FR"/>
          </w:rPr>
          <w:t>1902</w:t>
        </w:r>
      </w:hyperlink>
      <w:r w:rsidR="00CC05BE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et le premier prix Goncourt a été</w:t>
      </w:r>
      <w:r w:rsidR="007B7106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dédié</w:t>
      </w:r>
      <w:r w:rsidR="00E37F8D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le </w:t>
      </w:r>
      <w:hyperlink r:id="rId11" w:tooltip="21 décembre" w:history="1">
        <w:r w:rsidR="00E37F8D" w:rsidRPr="0038673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lang w:val="fr-FR"/>
          </w:rPr>
          <w:t>21</w:t>
        </w:r>
      </w:hyperlink>
      <w:r w:rsidR="00E37F8D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hyperlink r:id="rId12" w:tooltip="Décembre 1903" w:history="1">
        <w:r w:rsidR="00E37F8D" w:rsidRPr="0038673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lang w:val="fr-FR"/>
          </w:rPr>
          <w:t>décembre</w:t>
        </w:r>
      </w:hyperlink>
      <w:r w:rsidR="00E37F8D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hyperlink r:id="rId13" w:tooltip="1903 en littérature" w:history="1">
        <w:r w:rsidR="00E37F8D" w:rsidRPr="0038673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lang w:val="fr-FR"/>
          </w:rPr>
          <w:t>1903</w:t>
        </w:r>
      </w:hyperlink>
      <w:r w:rsidR="00E37F8D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. Ce prix annuel est décerné au début du mois de novembre par l'</w:t>
      </w:r>
      <w:hyperlink r:id="rId14" w:tooltip="Académie Goncourt" w:history="1">
        <w:r w:rsidR="00E37F8D" w:rsidRPr="00386736">
          <w:rPr>
            <w:rFonts w:asciiTheme="majorBidi" w:eastAsia="Times New Roman" w:hAnsiTheme="majorBidi" w:cstheme="majorBidi"/>
            <w:color w:val="000000" w:themeColor="text1"/>
            <w:sz w:val="24"/>
            <w:szCs w:val="24"/>
            <w:lang w:val="fr-FR"/>
          </w:rPr>
          <w:t>Académie Goncourt</w:t>
        </w:r>
      </w:hyperlink>
      <w:r w:rsidR="00E37F8D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, après trois présélections successives, en septembre et en octobre, parmi les romans publié</w:t>
      </w:r>
      <w:r w:rsidR="007B7106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s dans l'année en cours</w:t>
      </w:r>
      <w:r w:rsidR="00A025CA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.</w:t>
      </w:r>
      <w:r w:rsidR="00BC3DF9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C’est une des compétitions culturelle et remarquable de l’hexagone.</w:t>
      </w:r>
      <w:r w:rsidR="00E37F8D" w:rsidRPr="00386736">
        <w:rPr>
          <w:rFonts w:asciiTheme="majorBidi" w:eastAsia="Times New Roman" w:hAnsiTheme="majorBidi" w:cstheme="majorBidi"/>
          <w:vanish/>
          <w:color w:val="000000" w:themeColor="text1"/>
          <w:sz w:val="24"/>
          <w:szCs w:val="24"/>
          <w:u w:val="single"/>
          <w:vertAlign w:val="superscript"/>
          <w:lang w:val="fr-FR"/>
        </w:rPr>
        <w:t>][]</w:t>
      </w:r>
    </w:p>
    <w:p w:rsidR="005F6D69" w:rsidRPr="00386736" w:rsidRDefault="005F6D69" w:rsidP="005F6D69">
      <w:pPr>
        <w:spacing w:before="100" w:beforeAutospacing="1" w:after="100" w:afterAutospacing="1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</w:pPr>
      <w:r w:rsidRPr="007C2D23">
        <w:rPr>
          <w:rFonts w:asciiTheme="majorBidi" w:eastAsia="Times New Roman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   </w:t>
      </w:r>
      <w:r w:rsidR="00BD1C63" w:rsidRPr="007C2D2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Le prix Goncourt de l’Orient</w:t>
      </w:r>
      <w:r w:rsidR="00BD1C63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a été lancé </w:t>
      </w:r>
      <w:r w:rsidR="00FB3C97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pour la première fois  en 2012 à Beyrouth </w:t>
      </w:r>
      <w:r w:rsidR="00BD1C63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par l</w:t>
      </w:r>
      <w:r w:rsidR="00CC05BE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'In</w:t>
      </w:r>
      <w:r w:rsidR="00BD1C63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stitut Français du Liban</w:t>
      </w:r>
      <w:r w:rsidR="00FB3C97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par la coopération des </w:t>
      </w:r>
      <w:r w:rsidR="00CC05BE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élèves représentant le</w:t>
      </w:r>
      <w:r w:rsidR="00FB3C97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s différentes universités orient</w:t>
      </w:r>
      <w:r w:rsidR="007C2D23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al</w:t>
      </w:r>
      <w:r w:rsidR="00FB3C97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es</w:t>
      </w:r>
      <w:r w:rsidR="00A025CA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. </w:t>
      </w:r>
      <w:r w:rsidR="00CC05BE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Le principe est de créer un jury étudiant pour procéder à la sélection d'un ouvrage parmi les 8 titres de la 2ème sé</w:t>
      </w:r>
      <w:r w:rsidR="00A025CA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lection de l'Académie Goncourt. </w:t>
      </w:r>
      <w:r w:rsidR="00CC05BE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Les délibérations du Grand Jury étudi</w:t>
      </w:r>
      <w:r w:rsidR="00187ACD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ant se sont tenues à </w:t>
      </w:r>
      <w:r w:rsidR="00187ACD" w:rsidRPr="0065114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Beyrouth</w:t>
      </w:r>
      <w:r w:rsidR="00187ACD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.</w:t>
      </w:r>
      <w:r w:rsidR="00A025CA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r w:rsidR="00CC05BE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Le lauréat du Ch</w:t>
      </w:r>
      <w:r w:rsidR="00187ACD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oix Goncourt de l'Orient est</w:t>
      </w:r>
      <w:r w:rsidR="00CC05BE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invité à Beyrouth et s</w:t>
      </w:r>
      <w:r w:rsidR="00187ACD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on œuvre sera traduite en la langue nationale des pays participants</w:t>
      </w:r>
      <w:r w:rsidR="00A025CA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.</w:t>
      </w:r>
    </w:p>
    <w:p w:rsidR="00D91503" w:rsidRPr="00386736" w:rsidRDefault="005F6D69" w:rsidP="00831CFB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  </w:t>
      </w:r>
      <w:r w:rsidR="0058696A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Cette </w:t>
      </w:r>
      <w:r w:rsidR="00C32FBA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année</w:t>
      </w:r>
      <w:r w:rsidR="0058696A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, pour la première fois, l’u</w:t>
      </w:r>
      <w:r w:rsidR="0058696A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niversité Tarbiat-Modares a participé à cette compétition fabuleuse ayant le thème « </w:t>
      </w:r>
      <w:r w:rsidR="00433975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l’i</w:t>
      </w:r>
      <w:r w:rsidR="0058696A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nterculturalité »</w:t>
      </w:r>
      <w:r w:rsidR="00433975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. Les membres du jury</w:t>
      </w:r>
      <w:r w:rsidR="00AE1752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étudiant</w:t>
      </w:r>
      <w:r w:rsidR="00425B20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,</w:t>
      </w:r>
      <w:r w:rsidR="00433975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r w:rsidR="004436D7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dirigés sous la direction</w:t>
      </w:r>
      <w:r w:rsidR="00D91503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de</w:t>
      </w:r>
      <w:r w:rsidR="004436D7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M</w:t>
      </w:r>
      <w:r w:rsidR="002E505D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me le Dr. Roya LETAFATI, étaient composés de</w:t>
      </w:r>
      <w:r w:rsidR="00A43442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huit</w:t>
      </w:r>
      <w:r w:rsidR="002E505D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doctorantes en Didactique du FLE de l’Université Tarbiat-Modares</w:t>
      </w:r>
      <w:r w:rsidR="004B6667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, à savoir </w:t>
      </w:r>
      <w:r w:rsidR="002E505D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:</w:t>
      </w:r>
      <w:r w:rsidR="004436D7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r w:rsidR="00433975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Mme MORADIAN, Mme VAHED</w:t>
      </w:r>
      <w:r w:rsidR="00D91503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, </w:t>
      </w:r>
      <w:r w:rsidR="00E132E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Mme ALIZADEH, Mme YAGHOO</w:t>
      </w:r>
      <w:r w:rsidR="00433975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BI, Mme SADIDI, Mme HASHEMIAN NEJAD</w:t>
      </w:r>
      <w:r w:rsidR="00E132E0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, Mme SADEGH POOR</w:t>
      </w:r>
      <w:r w:rsidR="00A43442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, </w:t>
      </w:r>
      <w:r w:rsidR="004436D7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et </w:t>
      </w:r>
      <w:r w:rsidR="00DF4A3F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Mme SADJAD</w:t>
      </w:r>
      <w:r w:rsidR="00831CFB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I</w:t>
      </w:r>
      <w:r w:rsidR="00433975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. </w:t>
      </w:r>
      <w:r w:rsidR="00D91503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Les réunions avaient lieu tous les dix jours avec la présence de la directrice du projet ainsi que les membres du jury.</w:t>
      </w:r>
      <w:r w:rsidR="001D0C04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Lors de la première séance, </w:t>
      </w:r>
      <w:r w:rsidR="0033258B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le 14 octobre 2017, en désig</w:t>
      </w:r>
      <w:r w:rsidR="001909D5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nant</w:t>
      </w:r>
      <w:r w:rsidR="0033258B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des critères du choix, </w:t>
      </w:r>
      <w:r w:rsidR="001D0C04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les romans </w:t>
      </w:r>
      <w:r w:rsidR="005923EB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sélectionnés </w:t>
      </w:r>
      <w:r w:rsidR="001D0C04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ont été distribués en fonction </w:t>
      </w:r>
      <w:r w:rsidR="009C418B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du centre d’intérêt de chacun</w:t>
      </w:r>
      <w:r w:rsidR="001D0C04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des membres du jury afin d’être critiqués du point de vue du thème visé.</w:t>
      </w:r>
      <w:r w:rsidR="00BC5522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r w:rsidR="005923EB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A noter que l</w:t>
      </w:r>
      <w:r w:rsidR="005923EB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e président de l'académie Goncourt, Bernard Pivot, a dévoilé, mercredi 11 octobre à la Foire internationale du livre de Francfort, la deuxième liste de 8 romans encore en lice pour le prix Goncourt :</w:t>
      </w:r>
    </w:p>
    <w:p w:rsidR="005923EB" w:rsidRPr="00386736" w:rsidRDefault="005923EB" w:rsidP="005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3867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lastRenderedPageBreak/>
        <w:t>Un certain M. Piekielny</w:t>
      </w:r>
      <w:r w:rsidRPr="00386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François-Henri Désérable (Gallimard)</w:t>
      </w:r>
    </w:p>
    <w:p w:rsidR="005923EB" w:rsidRPr="00386736" w:rsidRDefault="005923EB" w:rsidP="005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3867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La disparition de Josef Mengele</w:t>
      </w:r>
      <w:r w:rsidRPr="00386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d'Olivier Guez (Grasset)</w:t>
      </w:r>
    </w:p>
    <w:p w:rsidR="005923EB" w:rsidRPr="00386736" w:rsidRDefault="005923EB" w:rsidP="005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3867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Tiens ferme ta couronne</w:t>
      </w:r>
      <w:r w:rsidRPr="00386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Yannick Haenel (Gallimard)</w:t>
      </w:r>
    </w:p>
    <w:p w:rsidR="005923EB" w:rsidRPr="00386736" w:rsidRDefault="005923EB" w:rsidP="005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3867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Bakhita </w:t>
      </w:r>
      <w:r w:rsidRPr="00386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>de Véronique Olmi (Albin Michel)</w:t>
      </w:r>
    </w:p>
    <w:p w:rsidR="005923EB" w:rsidRPr="00386736" w:rsidRDefault="005923EB" w:rsidP="005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3867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Niels</w:t>
      </w:r>
      <w:r w:rsidRPr="00386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d'Alexis Ragougneau (Viviane Hamy)</w:t>
      </w:r>
    </w:p>
    <w:p w:rsidR="005923EB" w:rsidRPr="00386736" w:rsidRDefault="005923EB" w:rsidP="005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67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Summer</w:t>
      </w:r>
      <w:r w:rsidRPr="00386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de Monica Sabolo (J-C. </w:t>
      </w:r>
      <w:r w:rsidRPr="003867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Lattès)</w:t>
      </w:r>
    </w:p>
    <w:p w:rsidR="005923EB" w:rsidRPr="00386736" w:rsidRDefault="005923EB" w:rsidP="005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3867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L'ordre du jour</w:t>
      </w:r>
      <w:r w:rsidRPr="00386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d'Eric Vuillard (Actes Sud)</w:t>
      </w:r>
    </w:p>
    <w:p w:rsidR="005923EB" w:rsidRPr="00386736" w:rsidRDefault="005923EB" w:rsidP="005923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</w:pPr>
      <w:r w:rsidRPr="003867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L'art de perdre</w:t>
      </w:r>
      <w:r w:rsidRPr="003867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/>
        </w:rPr>
        <w:t xml:space="preserve"> d'Alice Zeniter (Flammarion)</w:t>
      </w:r>
    </w:p>
    <w:p w:rsidR="005923EB" w:rsidRPr="00386736" w:rsidRDefault="005923EB" w:rsidP="005923EB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5923EB" w:rsidRPr="00386736" w:rsidRDefault="005923EB" w:rsidP="005923EB">
      <w:pPr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</w:p>
    <w:p w:rsidR="00BC5522" w:rsidRPr="00386736" w:rsidRDefault="001909D5" w:rsidP="005032DF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</w:pPr>
      <w:r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  </w:t>
      </w:r>
      <w:r w:rsidR="00BC5522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La deuxième séance</w:t>
      </w:r>
      <w:r w:rsidR="000F709A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organisé avec la présence de 7 membres </w:t>
      </w:r>
      <w:r w:rsidR="00BC5522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a été </w:t>
      </w:r>
      <w:r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suivie par </w:t>
      </w:r>
      <w:r w:rsidR="00BC5522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la </w:t>
      </w:r>
      <w:r w:rsidR="0058696A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r w:rsidR="000F709A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présentation </w:t>
      </w:r>
      <w:r w:rsidR="00DF4A3F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des rapports oraux ;</w:t>
      </w:r>
      <w:r w:rsidR="009F0A74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r w:rsidR="005032DF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compte tenu du fait qu’</w:t>
      </w:r>
      <w:r w:rsidR="009F0A74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ils ont été</w:t>
      </w:r>
      <w:r w:rsidR="00644591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censés préparer leurs rapport</w:t>
      </w:r>
      <w:r w:rsidR="003B3843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s</w:t>
      </w:r>
      <w:r w:rsidR="003A2A55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en trois</w:t>
      </w:r>
      <w:r w:rsidR="00644591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parties :   </w:t>
      </w:r>
      <w:r w:rsidR="003A2A55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la présentation </w:t>
      </w:r>
      <w:r w:rsidR="000F709A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de</w:t>
      </w:r>
      <w:r w:rsidR="00BC5522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l’histoire, du contenu, du thème, des personnages</w:t>
      </w:r>
      <w:r w:rsidR="003A2A55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, </w:t>
      </w:r>
      <w:r w:rsidR="00BC5522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r w:rsidR="003A2A55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l’analyse de </w:t>
      </w:r>
      <w:r w:rsidR="000F709A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la</w:t>
      </w:r>
      <w:r w:rsidR="00BC5522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notion</w:t>
      </w:r>
      <w:r w:rsidR="000F709A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de l'interculturalité</w:t>
      </w:r>
      <w:r w:rsidR="003A2A55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et l’</w:t>
      </w:r>
      <w:r w:rsidR="003B3843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analyse du style</w:t>
      </w:r>
      <w:r w:rsidR="003A2A55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.</w:t>
      </w:r>
    </w:p>
    <w:p w:rsidR="00753855" w:rsidRPr="00386736" w:rsidRDefault="00EF735A" w:rsidP="00753855">
      <w:pPr>
        <w:spacing w:after="0" w:line="360" w:lineRule="auto"/>
        <w:jc w:val="both"/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</w:pPr>
      <w:r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 </w:t>
      </w:r>
      <w:r w:rsidR="0074611A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La troisième</w:t>
      </w:r>
      <w:r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séance a visé </w:t>
      </w:r>
      <w:r w:rsidR="00C91EA6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en première lieu </w:t>
      </w:r>
      <w:r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à </w:t>
      </w:r>
      <w:r w:rsidR="00E06E0F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présent</w:t>
      </w:r>
      <w:r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er le</w:t>
      </w:r>
      <w:r w:rsidR="00CA5AE4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second</w:t>
      </w:r>
      <w:r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exposé de lecture de la deuxième sélection des romans, </w:t>
      </w:r>
      <w:r w:rsidR="00C91EA6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à </w:t>
      </w:r>
      <w:r w:rsidR="00967F79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discuter sur les objectifs cités</w:t>
      </w:r>
      <w:r w:rsidR="0074611A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,</w:t>
      </w:r>
      <w:r w:rsidR="00967F79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sur les éléments paralinguistiques et paratextuels des romans </w:t>
      </w:r>
      <w:r w:rsidR="0074611A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et</w:t>
      </w:r>
      <w:r w:rsidR="00967F79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en deuxième lieu, </w:t>
      </w:r>
      <w:r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à échanger des romans</w:t>
      </w:r>
      <w:r w:rsidR="00967F79"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>.</w:t>
      </w:r>
      <w:r w:rsidRPr="00386736">
        <w:rPr>
          <w:rFonts w:asciiTheme="majorBidi" w:eastAsia="Times New Roman" w:hAnsiTheme="majorBidi" w:cstheme="majorBidi"/>
          <w:color w:val="000000" w:themeColor="text1"/>
          <w:sz w:val="24"/>
          <w:szCs w:val="24"/>
          <w:lang w:val="fr-FR"/>
        </w:rPr>
        <w:t xml:space="preserve"> </w:t>
      </w:r>
    </w:p>
    <w:p w:rsidR="00831CFB" w:rsidRDefault="00753855" w:rsidP="00B74F81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  </w:t>
      </w:r>
      <w:r w:rsidR="00F904C1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 </w:t>
      </w:r>
      <w:r w:rsidR="00AB7106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A l</w:t>
      </w:r>
      <w:r w:rsidR="00DD3E8E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a dernière séance,</w:t>
      </w:r>
      <w:r w:rsidR="00F904C1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r w:rsidR="00B644C0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après avoir comparé les points forts et faibles des</w:t>
      </w:r>
      <w:r w:rsidR="00F904C1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r w:rsidR="00B644C0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romans</w:t>
      </w:r>
      <w:r w:rsidR="006504E9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,</w:t>
      </w:r>
      <w:r w:rsidR="00B644C0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en </w:t>
      </w:r>
      <w:r w:rsidR="006504E9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prenant</w:t>
      </w:r>
      <w:r w:rsidR="00B644C0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en considération  le thème de l’année, l’interculturalité, </w:t>
      </w:r>
      <w:r w:rsidR="00F904C1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r w:rsidR="00B644C0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les membres </w:t>
      </w:r>
      <w:r w:rsidR="00F904C1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du jury </w:t>
      </w:r>
      <w:r w:rsidR="00B644C0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étudiant </w:t>
      </w:r>
      <w:r w:rsidR="00F904C1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ont prése</w:t>
      </w:r>
      <w:r w:rsidR="00AB7106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nté le choix</w:t>
      </w:r>
      <w:r w:rsidR="00B6652D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de l’Université Tarbiat-Modares : </w:t>
      </w:r>
      <w:r w:rsidR="00B6652D" w:rsidRPr="00651140">
        <w:rPr>
          <w:rFonts w:asciiTheme="majorBidi" w:hAnsiTheme="majorBidi" w:cstheme="majorBidi"/>
          <w:b/>
          <w:bCs/>
          <w:i/>
          <w:iCs/>
          <w:color w:val="000000" w:themeColor="text1"/>
          <w:sz w:val="24"/>
          <w:szCs w:val="24"/>
          <w:lang w:val="fr-FR"/>
        </w:rPr>
        <w:t>L'art de perdre</w:t>
      </w:r>
      <w:r w:rsidR="003132CC" w:rsidRPr="0065114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 d'Alice Zeniter</w:t>
      </w:r>
      <w:r w:rsidR="003132CC" w:rsidRPr="00831CFB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fr-FR"/>
        </w:rPr>
        <w:t>.</w:t>
      </w:r>
      <w:r w:rsidR="00E06E0F" w:rsidRPr="00831CFB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fr-FR"/>
        </w:rPr>
        <w:t xml:space="preserve"> </w:t>
      </w:r>
      <w:r w:rsidR="00AB7106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Lors de cette réunion,</w:t>
      </w:r>
      <w:r w:rsidR="003132CC" w:rsidRPr="00831CFB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fr-FR"/>
        </w:rPr>
        <w:t xml:space="preserve"> </w:t>
      </w:r>
      <w:r w:rsidR="00DB27DA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Mme MORADIAN a été également choisie en tant que représentante de l’université Tarbiat-Modares</w:t>
      </w:r>
      <w:r w:rsidR="00465C04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pour se rendre au Liban Etant</w:t>
      </w:r>
      <w:r w:rsidR="00975416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donné que « L’art de perdre »  </w:t>
      </w:r>
      <w:r w:rsidR="00831CFB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bénéfic</w:t>
      </w:r>
      <w:r w:rsid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i</w:t>
      </w:r>
      <w:r w:rsidR="00831CFB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e</w:t>
      </w:r>
      <w:r w:rsidR="00A43442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d’une belle plume</w:t>
      </w:r>
      <w:r w:rsidR="00975416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, d’une description détaillée mais </w:t>
      </w:r>
      <w:r w:rsidR="007236A2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en même temps </w:t>
      </w:r>
      <w:r w:rsidR="00975416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avec une narration soigneuse</w:t>
      </w:r>
      <w:r w:rsidR="007236A2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et </w:t>
      </w:r>
      <w:r w:rsidR="00975416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d’une interculturalité </w:t>
      </w:r>
      <w:r w:rsidR="00B055BF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relativement</w:t>
      </w:r>
      <w:r w:rsidR="00CC3132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conforme à </w:t>
      </w:r>
      <w:r w:rsidR="007236A2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notre contexte iranien, il </w:t>
      </w:r>
      <w:r w:rsidR="00975416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s’est  placé au premier rang </w:t>
      </w:r>
      <w:r w:rsidR="002B19AE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par rapport d’autres romans restés en lice </w:t>
      </w:r>
      <w:r w:rsidR="00BE0977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pour gagner le prix</w:t>
      </w:r>
      <w:r w:rsidR="006C688B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Goncourt</w:t>
      </w:r>
      <w:r w:rsidR="00BE0977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.</w:t>
      </w:r>
      <w:r w:rsidR="00465C04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</w:t>
      </w:r>
    </w:p>
    <w:p w:rsidR="001B408C" w:rsidRPr="00831CFB" w:rsidRDefault="00465C04" w:rsidP="00B74F81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Sous la form</w:t>
      </w:r>
      <w:r w:rsidR="00437832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e d'une saga familiale, la romancière en retraçant</w:t>
      </w:r>
      <w:r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la guerre d'Algérie et le destin </w:t>
      </w:r>
      <w:r w:rsidR="001D59FD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des harkis essaie de</w:t>
      </w:r>
      <w:r w:rsidR="000A281A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montrer à son </w:t>
      </w:r>
      <w:r w:rsidR="00EF5126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lec</w:t>
      </w:r>
      <w:r w:rsidR="000A281A" w:rsidRPr="00831CFB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teur </w:t>
      </w:r>
      <w:r w:rsidRPr="00831CF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fr-FR"/>
        </w:rPr>
        <w:t>comment l'histoire se transmet de génération en génération, dans des récits troués de non-dits. C'est cette histoire parcellaire dont hérite Naïma, la narratrice, fille d</w:t>
      </w:r>
      <w:r w:rsidR="00C013E5" w:rsidRPr="00831CF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fr-FR"/>
        </w:rPr>
        <w:t xml:space="preserve">e Hamid et petite-fille d'Ali qui </w:t>
      </w:r>
      <w:r w:rsidRPr="00831CF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fr-FR"/>
        </w:rPr>
        <w:t xml:space="preserve"> </w:t>
      </w:r>
      <w:r w:rsidR="00C404B2" w:rsidRPr="00831CF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fr-FR"/>
        </w:rPr>
        <w:t xml:space="preserve">est en </w:t>
      </w:r>
      <w:r w:rsidR="00593FF0" w:rsidRPr="00831CF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fr-FR"/>
        </w:rPr>
        <w:t xml:space="preserve">quête de son identité ; </w:t>
      </w:r>
      <w:r w:rsidR="00B74F81" w:rsidRPr="00831CF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fr-FR"/>
        </w:rPr>
        <w:t>l</w:t>
      </w:r>
      <w:r w:rsidRPr="00831CF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fr-FR"/>
        </w:rPr>
        <w:t xml:space="preserve">a jeune </w:t>
      </w:r>
      <w:r w:rsidR="00C013E5" w:rsidRPr="00831CF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fr-FR"/>
        </w:rPr>
        <w:t>femme retou</w:t>
      </w:r>
      <w:r w:rsidR="00C404B2" w:rsidRPr="00831CF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fr-FR"/>
        </w:rPr>
        <w:t xml:space="preserve">rne </w:t>
      </w:r>
      <w:r w:rsidR="00593FF0" w:rsidRPr="00831CF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fr-FR"/>
        </w:rPr>
        <w:t xml:space="preserve">donc </w:t>
      </w:r>
      <w:r w:rsidR="00C404B2" w:rsidRPr="00831CF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fr-FR"/>
        </w:rPr>
        <w:t xml:space="preserve">en Algérie </w:t>
      </w:r>
      <w:r w:rsidR="00593FF0" w:rsidRPr="00831CF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fr-FR"/>
        </w:rPr>
        <w:t xml:space="preserve">pour </w:t>
      </w:r>
      <w:r w:rsidR="00C013E5" w:rsidRPr="00831CFB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  <w:lang w:val="fr-FR"/>
        </w:rPr>
        <w:t>recomposer son passé.</w:t>
      </w:r>
    </w:p>
    <w:p w:rsidR="00140CE1" w:rsidRPr="00651140" w:rsidRDefault="00BD402E" w:rsidP="00140CE1">
      <w:p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</w:pPr>
      <w:r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 </w:t>
      </w:r>
      <w:r w:rsidR="00E72B0B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Après quatre semaines de travail en étroite collaboration, </w:t>
      </w:r>
      <w:r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Mme Moradian s’est rendue au Liban le 9 novembre</w:t>
      </w:r>
      <w:r w:rsidR="00E72B0B" w:rsidRPr="00386736">
        <w:rPr>
          <w:rFonts w:asciiTheme="majorBidi" w:hAnsiTheme="majorBidi" w:cstheme="majorBidi"/>
          <w:color w:val="000000" w:themeColor="text1"/>
          <w:lang w:val="fr-FR"/>
        </w:rPr>
        <w:t xml:space="preserve"> </w:t>
      </w:r>
      <w:r w:rsidR="009F1CE7" w:rsidRPr="00386736">
        <w:rPr>
          <w:rFonts w:asciiTheme="majorBidi" w:hAnsiTheme="majorBidi" w:cstheme="majorBidi"/>
          <w:color w:val="000000" w:themeColor="text1"/>
          <w:lang w:val="fr-FR"/>
        </w:rPr>
        <w:t xml:space="preserve">afin de </w:t>
      </w:r>
      <w:r w:rsidR="00BB32F7" w:rsidRPr="00386736">
        <w:rPr>
          <w:rFonts w:asciiTheme="majorBidi" w:hAnsiTheme="majorBidi" w:cstheme="majorBidi"/>
          <w:color w:val="000000" w:themeColor="text1"/>
          <w:lang w:val="fr-FR"/>
        </w:rPr>
        <w:t>défendre le choix de l’université Tarbiat Modaress</w:t>
      </w:r>
      <w:r w:rsidR="00E72B0B" w:rsidRPr="00386736">
        <w:rPr>
          <w:rFonts w:asciiTheme="majorBidi" w:hAnsiTheme="majorBidi" w:cstheme="majorBidi"/>
          <w:color w:val="000000" w:themeColor="text1"/>
          <w:lang w:val="fr-FR"/>
        </w:rPr>
        <w:t xml:space="preserve">. </w:t>
      </w:r>
      <w:r w:rsidR="00C92398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Au terme de près d'un mois </w:t>
      </w:r>
      <w:r w:rsidR="00C92398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lastRenderedPageBreak/>
        <w:t xml:space="preserve">de lectures des romans </w:t>
      </w:r>
      <w:r w:rsidR="00294366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de la deuxième</w:t>
      </w:r>
      <w:r w:rsidR="00C92398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sélection de l'académie Goncourt, les étudiants de plusieurs pays du Moyen-Orient et d'</w:t>
      </w:r>
      <w:r w:rsidR="00795FA8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Afriques </w:t>
      </w:r>
      <w:r w:rsidR="00AC5259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ont participé à la délibération</w:t>
      </w:r>
      <w:r w:rsidR="00EF5126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organisée par l'AUF Moyen-Orient et l'Institut français du Liban.</w:t>
      </w:r>
      <w:r w:rsidR="000E5F06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La</w:t>
      </w:r>
      <w:r w:rsidR="00795FA8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proclamation a eu lieu </w:t>
      </w:r>
      <w:r w:rsidR="000E5F06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en présence d'Éric-Emmanuel Schmitt, membre de l'académie Goncourt, et de Leila Slimani</w:t>
      </w:r>
      <w:r w:rsidR="00EF5126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à la salle Samir Frangié du Salon du livre francophone de Beyrouth</w:t>
      </w:r>
      <w:r w:rsidR="00AC5259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r w:rsidR="00795FA8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: </w:t>
      </w:r>
      <w:r w:rsidR="00C92398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ils ont choisi de récompenser l'histoire d'une esclave africaine convertie au catholicisme et canonisée. </w:t>
      </w:r>
      <w:r w:rsidR="00C92398" w:rsidRPr="0065114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C'est donc Bakhita de Véronique Olmi </w:t>
      </w:r>
      <w:r w:rsidR="00EF5126" w:rsidRPr="0065114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 xml:space="preserve">qui a remporté </w:t>
      </w:r>
      <w:r w:rsidR="00C92398" w:rsidRPr="0065114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le choix Goncourt de l'Orient 2017.</w:t>
      </w:r>
    </w:p>
    <w:p w:rsidR="00140CE1" w:rsidRDefault="00C92398" w:rsidP="00140CE1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Le jury était composé de 39 jurés, représentant 33 universités de 12 pays du Moyen-Orient : </w:t>
      </w:r>
      <w:r w:rsidRPr="00651140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fr-FR"/>
        </w:rPr>
        <w:t>Djibouti, Égypte, Émirats arabes unis, Éthiopie, Irak, Iran, Jordanie, Liban, Palestine, Soudan, Syrie et Yémen</w:t>
      </w:r>
      <w:r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.</w:t>
      </w:r>
    </w:p>
    <w:p w:rsidR="00C92398" w:rsidRPr="00386736" w:rsidRDefault="00140CE1" w:rsidP="00140CE1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 xml:space="preserve"> </w:t>
      </w:r>
      <w:r w:rsidR="00C92398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À signaler que le</w:t>
      </w:r>
      <w:bookmarkStart w:id="0" w:name="_GoBack"/>
      <w:bookmarkEnd w:id="0"/>
      <w:r w:rsidR="00C92398" w:rsidRPr="00386736">
        <w:rPr>
          <w:rFonts w:asciiTheme="majorBidi" w:hAnsiTheme="majorBidi" w:cstheme="majorBidi"/>
          <w:color w:val="000000" w:themeColor="text1"/>
          <w:sz w:val="24"/>
          <w:szCs w:val="24"/>
          <w:lang w:val="fr-FR"/>
        </w:rPr>
        <w:t>s activités du prix se prolongeront tout au long de l'année 2018 dans les pays de la région à travers les campus numériques francophones de l'AUF et les Instituts français.</w:t>
      </w:r>
    </w:p>
    <w:p w:rsidR="00C92398" w:rsidRPr="00386736" w:rsidRDefault="00C92398" w:rsidP="003132CC">
      <w:pPr>
        <w:pStyle w:val="NormalWeb"/>
        <w:spacing w:line="360" w:lineRule="auto"/>
        <w:jc w:val="both"/>
        <w:rPr>
          <w:rFonts w:asciiTheme="majorBidi" w:hAnsiTheme="majorBidi" w:cstheme="majorBidi"/>
          <w:color w:val="000000" w:themeColor="text1"/>
          <w:lang w:val="fr-FR"/>
        </w:rPr>
      </w:pPr>
    </w:p>
    <w:p w:rsidR="00C92398" w:rsidRPr="00386736" w:rsidRDefault="00C92398" w:rsidP="003132CC">
      <w:pPr>
        <w:pStyle w:val="NormalWeb"/>
        <w:spacing w:line="360" w:lineRule="auto"/>
        <w:jc w:val="both"/>
        <w:rPr>
          <w:rStyle w:val="Emphasis"/>
          <w:rFonts w:asciiTheme="majorBidi" w:hAnsiTheme="majorBidi" w:cstheme="majorBidi"/>
          <w:color w:val="000000" w:themeColor="text1"/>
          <w:lang w:val="fr-FR"/>
        </w:rPr>
      </w:pPr>
    </w:p>
    <w:sectPr w:rsidR="00C92398" w:rsidRPr="00386736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5D" w:rsidRDefault="00D4775D" w:rsidP="00052F29">
      <w:pPr>
        <w:spacing w:after="0" w:line="240" w:lineRule="auto"/>
      </w:pPr>
      <w:r>
        <w:separator/>
      </w:r>
    </w:p>
  </w:endnote>
  <w:endnote w:type="continuationSeparator" w:id="0">
    <w:p w:rsidR="00D4775D" w:rsidRDefault="00D4775D" w:rsidP="0005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7134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3132" w:rsidRDefault="00CC31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1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3132" w:rsidRDefault="00CC3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5D" w:rsidRDefault="00D4775D" w:rsidP="00052F29">
      <w:pPr>
        <w:spacing w:after="0" w:line="240" w:lineRule="auto"/>
      </w:pPr>
      <w:r>
        <w:separator/>
      </w:r>
    </w:p>
  </w:footnote>
  <w:footnote w:type="continuationSeparator" w:id="0">
    <w:p w:rsidR="00D4775D" w:rsidRDefault="00D4775D" w:rsidP="0005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F6F8C"/>
    <w:multiLevelType w:val="multilevel"/>
    <w:tmpl w:val="5E02E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8D"/>
    <w:rsid w:val="00052F29"/>
    <w:rsid w:val="00064E3C"/>
    <w:rsid w:val="000A281A"/>
    <w:rsid w:val="000B01E5"/>
    <w:rsid w:val="000D3DCA"/>
    <w:rsid w:val="000D3DD7"/>
    <w:rsid w:val="000E5F06"/>
    <w:rsid w:val="000E728A"/>
    <w:rsid w:val="000F1346"/>
    <w:rsid w:val="000F709A"/>
    <w:rsid w:val="00140CE1"/>
    <w:rsid w:val="0015284C"/>
    <w:rsid w:val="00165924"/>
    <w:rsid w:val="00187ACD"/>
    <w:rsid w:val="001909D5"/>
    <w:rsid w:val="001B408C"/>
    <w:rsid w:val="001C24BB"/>
    <w:rsid w:val="001D0C04"/>
    <w:rsid w:val="001D59FD"/>
    <w:rsid w:val="002063B0"/>
    <w:rsid w:val="00212444"/>
    <w:rsid w:val="00294366"/>
    <w:rsid w:val="002B19AE"/>
    <w:rsid w:val="002E505D"/>
    <w:rsid w:val="00311D03"/>
    <w:rsid w:val="003132CC"/>
    <w:rsid w:val="0033258B"/>
    <w:rsid w:val="00352446"/>
    <w:rsid w:val="00373E41"/>
    <w:rsid w:val="00386736"/>
    <w:rsid w:val="003A2A55"/>
    <w:rsid w:val="003A393E"/>
    <w:rsid w:val="003B3843"/>
    <w:rsid w:val="00417278"/>
    <w:rsid w:val="00425B20"/>
    <w:rsid w:val="00433975"/>
    <w:rsid w:val="00437832"/>
    <w:rsid w:val="004436D7"/>
    <w:rsid w:val="004569D0"/>
    <w:rsid w:val="00465C04"/>
    <w:rsid w:val="00483A65"/>
    <w:rsid w:val="004B6667"/>
    <w:rsid w:val="005032DF"/>
    <w:rsid w:val="005536C8"/>
    <w:rsid w:val="0058696A"/>
    <w:rsid w:val="005923EB"/>
    <w:rsid w:val="00593FF0"/>
    <w:rsid w:val="005B3FCA"/>
    <w:rsid w:val="005F6D69"/>
    <w:rsid w:val="00612382"/>
    <w:rsid w:val="00644591"/>
    <w:rsid w:val="006504E9"/>
    <w:rsid w:val="00651140"/>
    <w:rsid w:val="006725D8"/>
    <w:rsid w:val="006770FD"/>
    <w:rsid w:val="006C688B"/>
    <w:rsid w:val="006F5B86"/>
    <w:rsid w:val="007236A2"/>
    <w:rsid w:val="0074611A"/>
    <w:rsid w:val="00753855"/>
    <w:rsid w:val="00795FA8"/>
    <w:rsid w:val="007A61F8"/>
    <w:rsid w:val="007B7106"/>
    <w:rsid w:val="007C2D23"/>
    <w:rsid w:val="00831CFB"/>
    <w:rsid w:val="008859CD"/>
    <w:rsid w:val="008D4538"/>
    <w:rsid w:val="008E5BFC"/>
    <w:rsid w:val="00905F22"/>
    <w:rsid w:val="00967F79"/>
    <w:rsid w:val="00975416"/>
    <w:rsid w:val="00996C41"/>
    <w:rsid w:val="009C418B"/>
    <w:rsid w:val="009F0A74"/>
    <w:rsid w:val="009F1CE7"/>
    <w:rsid w:val="00A025CA"/>
    <w:rsid w:val="00A3741C"/>
    <w:rsid w:val="00A4282C"/>
    <w:rsid w:val="00A43442"/>
    <w:rsid w:val="00AB7106"/>
    <w:rsid w:val="00AC5259"/>
    <w:rsid w:val="00AE0F39"/>
    <w:rsid w:val="00AE1752"/>
    <w:rsid w:val="00B055BF"/>
    <w:rsid w:val="00B17643"/>
    <w:rsid w:val="00B247B0"/>
    <w:rsid w:val="00B644C0"/>
    <w:rsid w:val="00B6652D"/>
    <w:rsid w:val="00B74F81"/>
    <w:rsid w:val="00B77B6B"/>
    <w:rsid w:val="00BB32F7"/>
    <w:rsid w:val="00BC3DF9"/>
    <w:rsid w:val="00BC5522"/>
    <w:rsid w:val="00BD1C63"/>
    <w:rsid w:val="00BD402E"/>
    <w:rsid w:val="00BE0977"/>
    <w:rsid w:val="00C013E5"/>
    <w:rsid w:val="00C15C55"/>
    <w:rsid w:val="00C32FBA"/>
    <w:rsid w:val="00C404B2"/>
    <w:rsid w:val="00C67328"/>
    <w:rsid w:val="00C91EA6"/>
    <w:rsid w:val="00C92398"/>
    <w:rsid w:val="00CA5AE4"/>
    <w:rsid w:val="00CC05BE"/>
    <w:rsid w:val="00CC3132"/>
    <w:rsid w:val="00CF4ED3"/>
    <w:rsid w:val="00D13EA3"/>
    <w:rsid w:val="00D47209"/>
    <w:rsid w:val="00D4775D"/>
    <w:rsid w:val="00D61716"/>
    <w:rsid w:val="00D65104"/>
    <w:rsid w:val="00D7591D"/>
    <w:rsid w:val="00D761AA"/>
    <w:rsid w:val="00D91503"/>
    <w:rsid w:val="00D929EF"/>
    <w:rsid w:val="00D970DB"/>
    <w:rsid w:val="00DB27DA"/>
    <w:rsid w:val="00DD3E8E"/>
    <w:rsid w:val="00DF3221"/>
    <w:rsid w:val="00DF4A3F"/>
    <w:rsid w:val="00E06E0F"/>
    <w:rsid w:val="00E132E0"/>
    <w:rsid w:val="00E37F8D"/>
    <w:rsid w:val="00E72B0B"/>
    <w:rsid w:val="00EB32A4"/>
    <w:rsid w:val="00EF5126"/>
    <w:rsid w:val="00EF735A"/>
    <w:rsid w:val="00F56246"/>
    <w:rsid w:val="00F67C1C"/>
    <w:rsid w:val="00F904C1"/>
    <w:rsid w:val="00F92C16"/>
    <w:rsid w:val="00FB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BA5FF-018F-41A1-B3D4-B97A91FBE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F322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904C1"/>
    <w:rPr>
      <w:strike w:val="0"/>
      <w:dstrike w:val="0"/>
      <w:color w:val="707173"/>
      <w:u w:val="none"/>
      <w:effect w:val="none"/>
      <w:shd w:val="clear" w:color="auto" w:fill="auto"/>
    </w:rPr>
  </w:style>
  <w:style w:type="character" w:customStyle="1" w:styleId="read-more">
    <w:name w:val="read-more"/>
    <w:basedOn w:val="DefaultParagraphFont"/>
    <w:rsid w:val="00F904C1"/>
  </w:style>
  <w:style w:type="character" w:customStyle="1" w:styleId="details">
    <w:name w:val="details"/>
    <w:basedOn w:val="DefaultParagraphFont"/>
    <w:rsid w:val="00F904C1"/>
  </w:style>
  <w:style w:type="paragraph" w:styleId="NormalWeb">
    <w:name w:val="Normal (Web)"/>
    <w:basedOn w:val="Normal"/>
    <w:uiPriority w:val="99"/>
    <w:semiHidden/>
    <w:unhideWhenUsed/>
    <w:rsid w:val="00D4720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F29"/>
  </w:style>
  <w:style w:type="paragraph" w:styleId="Footer">
    <w:name w:val="footer"/>
    <w:basedOn w:val="Normal"/>
    <w:link w:val="FooterChar"/>
    <w:uiPriority w:val="99"/>
    <w:unhideWhenUsed/>
    <w:rsid w:val="00052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F29"/>
  </w:style>
  <w:style w:type="character" w:customStyle="1" w:styleId="Heading1Char">
    <w:name w:val="Heading 1 Char"/>
    <w:basedOn w:val="DefaultParagraphFont"/>
    <w:link w:val="Heading1"/>
    <w:uiPriority w:val="9"/>
    <w:rsid w:val="007C2D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8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1633">
                      <w:marLeft w:val="0"/>
                      <w:marRight w:val="0"/>
                      <w:marTop w:val="1500"/>
                      <w:marBottom w:val="3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7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4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4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93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8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91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8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0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Edmond_de_Goncourt" TargetMode="External"/><Relationship Id="rId13" Type="http://schemas.openxmlformats.org/officeDocument/2006/relationships/hyperlink" Target="https://fr.wikipedia.org/wiki/1903_en_litt%C3%A9rat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Prix_litt%C3%A9raire" TargetMode="External"/><Relationship Id="rId12" Type="http://schemas.openxmlformats.org/officeDocument/2006/relationships/hyperlink" Target="https://fr.wikipedia.org/wiki/D%C3%A9cembre_190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21_d%C3%A9cembr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r.wikipedia.org/wiki/19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1892_en_litt%C3%A9rature" TargetMode="External"/><Relationship Id="rId14" Type="http://schemas.openxmlformats.org/officeDocument/2006/relationships/hyperlink" Target="https://fr.wikipedia.org/wiki/Acad%C3%A9mie_Goncou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Bita Hashemiannejad</dc:creator>
  <cp:keywords/>
  <dc:description/>
  <cp:lastModifiedBy>RPM</cp:lastModifiedBy>
  <cp:revision>8</cp:revision>
  <dcterms:created xsi:type="dcterms:W3CDTF">2017-12-07T05:41:00Z</dcterms:created>
  <dcterms:modified xsi:type="dcterms:W3CDTF">2017-12-08T08:23:00Z</dcterms:modified>
</cp:coreProperties>
</file>